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3F26D5">
        <w:tc>
          <w:tcPr>
            <w:tcW w:w="14450" w:type="dxa"/>
            <w:gridSpan w:val="50"/>
            <w:shd w:val="clear" w:color="FFFFFF" w:fill="auto"/>
            <w:vAlign w:val="bottom"/>
          </w:tcPr>
          <w:p w:rsidR="003F26D5" w:rsidRDefault="00273D2C">
            <w:pPr>
              <w:pStyle w:val="1CStyle1"/>
            </w:pPr>
            <w:r>
              <w:t>Техническое задание по Лоту №1</w:t>
            </w:r>
          </w:p>
        </w:tc>
      </w:tr>
      <w:tr w:rsidR="003F26D5">
        <w:tc>
          <w:tcPr>
            <w:tcW w:w="14450" w:type="dxa"/>
            <w:gridSpan w:val="50"/>
            <w:shd w:val="clear" w:color="FFFFFF" w:fill="auto"/>
            <w:vAlign w:val="bottom"/>
          </w:tcPr>
          <w:p w:rsidR="003F26D5" w:rsidRDefault="00273D2C">
            <w:pPr>
              <w:pStyle w:val="1CStyle1"/>
            </w:pPr>
            <w:r>
              <w:t>По открытому запросу предложений  в электронной форме № 110 969</w:t>
            </w:r>
          </w:p>
        </w:tc>
      </w:tr>
      <w:tr w:rsidR="003F26D5">
        <w:tc>
          <w:tcPr>
            <w:tcW w:w="14450" w:type="dxa"/>
            <w:gridSpan w:val="50"/>
            <w:shd w:val="clear" w:color="FFFFFF" w:fill="auto"/>
            <w:vAlign w:val="bottom"/>
          </w:tcPr>
          <w:p w:rsidR="003F26D5" w:rsidRDefault="00273D2C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C55F67">
        <w:tc>
          <w:tcPr>
            <w:tcW w:w="289" w:type="dxa"/>
            <w:shd w:val="clear" w:color="FFFFFF" w:fill="auto"/>
          </w:tcPr>
          <w:p w:rsidR="003F26D5" w:rsidRDefault="003F26D5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  <w:jc w:val="left"/>
            </w:pPr>
          </w:p>
        </w:tc>
      </w:tr>
      <w:tr w:rsidR="003F26D5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4"/>
              <w:jc w:val="left"/>
            </w:pPr>
            <w:r>
              <w:t>ОКВЭД</w:t>
            </w:r>
          </w:p>
        </w:tc>
      </w:tr>
      <w:tr w:rsidR="003F26D5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3F26D5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3F26D5">
            <w:pPr>
              <w:pStyle w:val="1CStyle5"/>
              <w:jc w:val="left"/>
            </w:pP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1"/>
            </w:pPr>
            <w:r>
              <w:t>Место (адрес) поставки товара</w:t>
            </w: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3"/>
              <w:jc w:val="left"/>
            </w:pPr>
            <w:r>
              <w:t>Дозиметр ДКГ-РМ-1621А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4"/>
            </w:pPr>
            <w:r>
              <w:t>1,000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3F26D5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F26D5" w:rsidRDefault="00273D2C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7"/>
              <w:jc w:val="left"/>
            </w:pPr>
            <w:r>
              <w:t>Примечания: Дозиметр  предназначен для:</w:t>
            </w:r>
            <w:r>
              <w:br/>
              <w:t xml:space="preserve">1. Измерения индивидуального эквивалента дозы </w:t>
            </w:r>
            <w:proofErr w:type="spellStart"/>
            <w:r>
              <w:t>Нр</w:t>
            </w:r>
            <w:proofErr w:type="spellEnd"/>
            <w:r>
              <w:t>(10) фотонного излучения.</w:t>
            </w:r>
            <w:r>
              <w:br/>
              <w:t xml:space="preserve">2. Измерения мощности индивидуального эквивалента дозы </w:t>
            </w:r>
            <w:proofErr w:type="spellStart"/>
            <w:r>
              <w:t>Нр</w:t>
            </w:r>
            <w:proofErr w:type="spellEnd"/>
            <w:r>
              <w:t>(10) фотонного         излучения.</w:t>
            </w:r>
            <w:r>
              <w:br/>
              <w:t>3. Измерения времени набора ЭД.</w:t>
            </w:r>
            <w:r>
              <w:br/>
            </w:r>
            <w:r>
              <w:br/>
            </w:r>
            <w:r>
              <w:br/>
              <w:t>Технические характеристики:</w:t>
            </w:r>
            <w:r>
              <w:br/>
            </w:r>
            <w:r>
              <w:br/>
              <w:t>1. Детектор                 газоразрядный счетчик</w:t>
            </w:r>
            <w:r>
              <w:br/>
              <w:t xml:space="preserve">2. Диапазон измерения мощности дозы </w:t>
            </w:r>
            <w:proofErr w:type="spellStart"/>
            <w:r>
              <w:t>Нр</w:t>
            </w:r>
            <w:proofErr w:type="spellEnd"/>
            <w:r>
              <w:t>(10)                             0,1мкЗв....0,1Зв/ч</w:t>
            </w:r>
            <w:r>
              <w:br/>
              <w:t>3. Диапазон измерения дозы                                                            1мкЗв......10Зв</w:t>
            </w:r>
            <w:r>
              <w:br/>
              <w:t>4. Пределы допустимой основной относительной погрешности                 +- 15%</w:t>
            </w:r>
            <w:r>
              <w:br/>
              <w:t>5. Диапазон регистрируемых энергий                                             10кэВ+-20МэВ</w:t>
            </w:r>
            <w:r>
              <w:br/>
              <w:t>6. Диапазон установки порогов по дозе и мощности дозы            во всем диапазоне                                                                                                                      измерения</w:t>
            </w:r>
            <w:r>
              <w:br/>
              <w:t>7. Дополнительные функции                                                             режим свези с ПК</w:t>
            </w:r>
            <w:r>
              <w:br/>
              <w:t>8. Питание                                                                                           один элемент АА</w:t>
            </w:r>
            <w:r>
              <w:br/>
              <w:t>9. Время непрерывной работы от одного элемента питания в нормальных условиях</w:t>
            </w:r>
            <w:r>
              <w:br/>
              <w:t>12 мес.</w:t>
            </w:r>
            <w:r>
              <w:br/>
              <w:t>10. Индикация разряда элемента питания                                отображается на ЖКИ</w:t>
            </w:r>
            <w:r>
              <w:br/>
              <w:t>11. Допустимые условия рабочих температур                         минус 40...60</w:t>
            </w:r>
            <w:proofErr w:type="gramStart"/>
            <w:r>
              <w:t xml:space="preserve">  С</w:t>
            </w:r>
            <w:proofErr w:type="gramEnd"/>
            <w:r>
              <w:br/>
              <w:t>12. Степень защиты корпуса прибора                                       IР67</w:t>
            </w:r>
            <w:r>
              <w:br/>
              <w:t>13. Конструктивное исполнение                                             герметичный ударопрочный                                                                                                       корпус</w:t>
            </w:r>
            <w:r>
              <w:br/>
              <w:t>14. габаритные размеры, масса                                               87*72*35 мм, 0,15</w:t>
            </w:r>
            <w:r>
              <w:br/>
            </w:r>
            <w:r>
              <w:br/>
            </w:r>
            <w:r>
              <w:br/>
              <w:t>Комплект поставки:</w:t>
            </w:r>
            <w:r>
              <w:br/>
            </w:r>
            <w:r>
              <w:br/>
              <w:t>1. Дозиметр</w:t>
            </w:r>
            <w:r>
              <w:br/>
              <w:t>2. Элемент питания.</w:t>
            </w:r>
            <w:r>
              <w:br/>
              <w:t>3. Программное обеспечение.</w:t>
            </w:r>
            <w:r>
              <w:br/>
              <w:t>4. Руководство по эксплуатации.</w:t>
            </w:r>
            <w:r>
              <w:br/>
              <w:t>5. Паспорт</w:t>
            </w:r>
            <w:r>
              <w:br/>
              <w:t>6. Свидетельство о поверке.</w:t>
            </w:r>
            <w:r>
              <w:br/>
            </w:r>
          </w:p>
        </w:tc>
      </w:tr>
      <w:tr w:rsidR="00C55F67"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3F26D5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3F26D5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3F26D5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2"/>
              <w:jc w:val="left"/>
            </w:pPr>
            <w:r>
              <w:t>Строго в соответствии с графиком поставки товара:</w:t>
            </w:r>
          </w:p>
        </w:tc>
      </w:tr>
      <w:tr w:rsidR="00C55F67"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11"/>
            </w:pPr>
            <w:r>
              <w:t>Место (адрес) поставки товара</w:t>
            </w: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5"/>
              <w:jc w:val="left"/>
            </w:pPr>
            <w:r>
              <w:t>Дозиметр ДКГ-РМ-1621А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6"/>
            </w:pPr>
            <w:r>
              <w:t>от  15 до 30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7"/>
            </w:pPr>
            <w:r>
              <w:t>1,000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C55F67"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3F26D5" w:rsidRDefault="003F26D5">
            <w:pPr>
              <w:pStyle w:val="1CStyle0"/>
            </w:pPr>
          </w:p>
        </w:tc>
      </w:tr>
      <w:tr w:rsidR="003F26D5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6D5" w:rsidRDefault="00273D2C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3F26D5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0"/>
            </w:pPr>
            <w:r>
              <w:t>52 079,30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3F26D5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0"/>
            </w:pPr>
            <w:r>
              <w:t>7 944,30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3F26D5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9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3"/>
            </w:pPr>
            <w:r>
              <w:t>44 135,00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3F26D5">
        <w:tc>
          <w:tcPr>
            <w:tcW w:w="6647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34"/>
            </w:pPr>
            <w:r>
              <w:t>Обязательное требование к условиям оплаты товара</w:t>
            </w:r>
          </w:p>
        </w:tc>
        <w:tc>
          <w:tcPr>
            <w:tcW w:w="7803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6D5" w:rsidRDefault="00273D2C">
            <w:pPr>
              <w:pStyle w:val="1CStyle22"/>
              <w:jc w:val="left"/>
            </w:pPr>
            <w:r>
              <w:t xml:space="preserve">Оплата за поставленный Товар в размере 100% осуществляется Покупателем в срок от  10 (десяти) до 14 (четырнадцати)  календарных дней </w:t>
            </w:r>
            <w:proofErr w:type="gramStart"/>
            <w:r>
              <w:t>с даты подписания</w:t>
            </w:r>
            <w:proofErr w:type="gramEnd"/>
            <w:r>
              <w:t xml:space="preserve"> уполномоченными представителями первичных документов, подтверждающих приёмку-передачу товара и отвечающих требованиям законодательства РФ</w:t>
            </w:r>
          </w:p>
        </w:tc>
      </w:tr>
    </w:tbl>
    <w:p w:rsidR="003F2C32" w:rsidRDefault="003F2C32"/>
    <w:sectPr w:rsidR="003F2C32" w:rsidSect="00273D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D5"/>
    <w:rsid w:val="00273D2C"/>
    <w:rsid w:val="003F26D5"/>
    <w:rsid w:val="003F2C32"/>
    <w:rsid w:val="00C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34">
    <w:name w:val="1CStyle34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34">
    <w:name w:val="1CStyle34"/>
    <w:pPr>
      <w:jc w:val="right"/>
    </w:pPr>
    <w:rPr>
      <w:rFonts w:ascii="Times New Roman" w:hAnsi="Times New Roman"/>
      <w:b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Осташук Ирина Александровна</dc:creator>
  <cp:lastModifiedBy>Осташук Ирина Александровна</cp:lastModifiedBy>
  <cp:revision>2</cp:revision>
  <dcterms:created xsi:type="dcterms:W3CDTF">2017-01-27T09:19:00Z</dcterms:created>
  <dcterms:modified xsi:type="dcterms:W3CDTF">2017-01-27T09:19:00Z</dcterms:modified>
</cp:coreProperties>
</file>